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D7DA" w14:textId="77777777" w:rsidR="00C00AFD" w:rsidRPr="00C00AFD" w:rsidRDefault="00C00AFD" w:rsidP="00C00AFD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</w:pPr>
      <w:r w:rsidRPr="00C00AFD"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  <w:t>« </w:t>
      </w:r>
      <w:r w:rsidRPr="00C00AFD"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  <w:t xml:space="preserve">Créer pour éduquer. La </w:t>
      </w:r>
      <w:r w:rsidRPr="00C00AFD"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  <w:t>place de la transdisciplinarité »</w:t>
      </w:r>
    </w:p>
    <w:p w14:paraId="7711D011" w14:textId="5FAC8762" w:rsidR="00C00AFD" w:rsidRPr="00C00AFD" w:rsidRDefault="00C00AFD" w:rsidP="00C00AFD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</w:pPr>
      <w:r w:rsidRPr="00C00AFD">
        <w:rPr>
          <w:rFonts w:ascii="Times New Roman" w:hAnsi="Times New Roman" w:cs="Times New Roman"/>
          <w:b/>
          <w:color w:val="212529"/>
          <w:sz w:val="36"/>
          <w:szCs w:val="20"/>
          <w:shd w:val="clear" w:color="auto" w:fill="FFFFFF"/>
        </w:rPr>
        <w:t xml:space="preserve"> Une éducation démocratique par les arts</w:t>
      </w:r>
    </w:p>
    <w:p w14:paraId="599D0DC4" w14:textId="01681111" w:rsidR="00C00AFD" w:rsidRPr="00C00AFD" w:rsidRDefault="00C00AFD" w:rsidP="00C00AFD">
      <w:pPr>
        <w:spacing w:line="360" w:lineRule="auto"/>
        <w:jc w:val="center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 w:rsidRPr="00C00AFD">
        <w:rPr>
          <w:rFonts w:ascii="Times New Roman" w:hAnsi="Times New Roman" w:cs="Times New Roman"/>
          <w:color w:val="212529"/>
          <w:szCs w:val="20"/>
          <w:shd w:val="clear" w:color="auto" w:fill="FFFFFF"/>
        </w:rPr>
        <w:t>15-16 mai 2019 13100 Aix-en-Provence (France)</w:t>
      </w:r>
    </w:p>
    <w:p w14:paraId="10637A71" w14:textId="77777777" w:rsidR="00C00AFD" w:rsidRDefault="00C00AFD" w:rsidP="00C00AFD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</w:pPr>
    </w:p>
    <w:p w14:paraId="560AA93E" w14:textId="77777777" w:rsidR="00C00AFD" w:rsidRPr="00C00AFD" w:rsidRDefault="00C00AFD" w:rsidP="00C00AFD">
      <w:pPr>
        <w:spacing w:line="360" w:lineRule="auto"/>
        <w:jc w:val="both"/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</w:pPr>
    </w:p>
    <w:p w14:paraId="2C94E4B0" w14:textId="0CE4B206" w:rsidR="003B3D10" w:rsidRPr="00C00AFD" w:rsidRDefault="000D1C0A" w:rsidP="003B3D10">
      <w:pPr>
        <w:spacing w:line="360" w:lineRule="auto"/>
        <w:jc w:val="both"/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</w:pPr>
      <w:r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>La chaise</w:t>
      </w:r>
      <w:r w:rsidR="005213C5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> :</w:t>
      </w:r>
      <w:r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 xml:space="preserve"> </w:t>
      </w:r>
      <w:r w:rsidR="005213C5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 xml:space="preserve">un </w:t>
      </w:r>
      <w:r w:rsidR="00593771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>art</w:t>
      </w:r>
      <w:r w:rsidR="00512FFF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>e</w:t>
      </w:r>
      <w:r w:rsidR="00593771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 xml:space="preserve">fact pour </w:t>
      </w:r>
      <w:r w:rsidR="005213C5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>enseigner l</w:t>
      </w:r>
      <w:r w:rsidR="00593771" w:rsidRPr="00C00AFD">
        <w:rPr>
          <w:rFonts w:ascii="Times New Roman" w:hAnsi="Times New Roman" w:cs="Times New Roman"/>
          <w:b/>
          <w:i/>
          <w:color w:val="212529"/>
          <w:sz w:val="28"/>
          <w:szCs w:val="26"/>
          <w:shd w:val="clear" w:color="auto" w:fill="FFFFFF"/>
        </w:rPr>
        <w:t xml:space="preserve">es arts appliqués. </w:t>
      </w:r>
    </w:p>
    <w:p w14:paraId="67160FA6" w14:textId="77777777" w:rsidR="005213C5" w:rsidRDefault="005213C5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Contexte</w:t>
      </w:r>
      <w:r w:rsidR="0016154B">
        <w:rPr>
          <w:rFonts w:ascii="Times New Roman" w:hAnsi="Times New Roman" w:cs="Times New Roman"/>
          <w:color w:val="212529"/>
          <w:szCs w:val="20"/>
          <w:shd w:val="clear" w:color="auto" w:fill="FFFFFF"/>
        </w:rPr>
        <w:t>/Cadre théorique</w:t>
      </w:r>
    </w:p>
    <w:p w14:paraId="546339BB" w14:textId="11C2DEC7" w:rsidR="005213C5" w:rsidRDefault="007A61CB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Les « arts appliqués et cultures artistiques » sont une discipline d'enseignement général dispensée</w:t>
      </w:r>
      <w:r w:rsidR="005213C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dans chaque filière de lycée professionnel. Le design et l’histoire des arts y sont enseignés dans une dimension pratique et culturelle. Les enseignants d’arts appliqués prescrivent et planifient des tâches dans le cadre d'a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>ctivités de création-conception</w:t>
      </w:r>
      <w:r w:rsid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, </w:t>
      </w:r>
      <w:r w:rsid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activités ayant pour</w:t>
      </w:r>
      <w:r w:rsidR="00313B56"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finalité la 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construction et la communication </w:t>
      </w:r>
      <w:r w:rsidR="00313B56"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d’un modèle d’art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e</w:t>
      </w:r>
      <w:r w:rsidR="00313B56"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fact, ne résultant pas de la réplique d’un modèle existant</w:t>
      </w:r>
      <w:r w:rsid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>, cela</w:t>
      </w:r>
      <w:r w:rsidR="00DC2C5C" w:rsidRP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dans le but de</w:t>
      </w:r>
      <w:r w:rsidR="00313B56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dév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elopper les compétences idoines, mais également </w:t>
      </w:r>
      <w:r w:rsid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de</w:t>
      </w:r>
      <w:r w:rsidR="00313B56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favoriser l’épanouissement personnel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des élèves,</w:t>
      </w: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le développement de compétences citoyennes et sociales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ainsi que pour les préparer à poursuivre leurs études</w:t>
      </w:r>
      <w:r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.</w:t>
      </w:r>
      <w:r w:rsid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</w:p>
    <w:p w14:paraId="7DAAA062" w14:textId="0F515024" w:rsidR="0016154B" w:rsidRDefault="00313B56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L</w:t>
      </w:r>
      <w:r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’activité de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création-</w:t>
      </w:r>
      <w:r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conceptio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n peut être recentrée sur l’arte</w:t>
      </w:r>
      <w:r w:rsidRPr="00313B56">
        <w:rPr>
          <w:rFonts w:ascii="Times New Roman" w:hAnsi="Times New Roman" w:cs="Times New Roman"/>
          <w:color w:val="212529"/>
          <w:szCs w:val="20"/>
          <w:shd w:val="clear" w:color="auto" w:fill="FFFFFF"/>
        </w:rPr>
        <w:t>fact qui est son but final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, aussi a</w:t>
      </w:r>
      <w:r w:rsidR="00C74FD9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fin de fournir </w:t>
      </w:r>
      <w:r w:rsidR="004D53E4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des éléments de stabilité des contenus à enseigner</w:t>
      </w:r>
      <w:r w:rsidR="005213C5">
        <w:rPr>
          <w:rFonts w:ascii="Times New Roman" w:hAnsi="Times New Roman" w:cs="Times New Roman"/>
          <w:color w:val="212529"/>
          <w:szCs w:val="20"/>
          <w:shd w:val="clear" w:color="auto" w:fill="FFFFFF"/>
        </w:rPr>
        <w:t>,</w:t>
      </w:r>
      <w:r w:rsidR="004D53E4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4D53E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cette communication se propose </w:t>
      </w:r>
      <w:r w:rsidR="00593771">
        <w:rPr>
          <w:rFonts w:ascii="Times New Roman" w:hAnsi="Times New Roman" w:cs="Times New Roman"/>
          <w:color w:val="212529"/>
          <w:szCs w:val="20"/>
          <w:shd w:val="clear" w:color="auto" w:fill="FFFFFF"/>
        </w:rPr>
        <w:t>de faire l’épistémologie d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>es différents modes d’existence de</w:t>
      </w:r>
      <w:r w:rsidR="00593771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l’artefact 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>« chaise »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pour 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la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confronter à une situation d’enseignement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. 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Un artefact 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>peut être considéré comme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4D1331">
        <w:rPr>
          <w:rFonts w:ascii="Times New Roman" w:hAnsi="Times New Roman" w:cs="Times New Roman"/>
          <w:color w:val="212529"/>
          <w:szCs w:val="20"/>
          <w:shd w:val="clear" w:color="auto" w:fill="FFFFFF"/>
        </w:rPr>
        <w:t>un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objet</w:t>
      </w:r>
      <w:r w:rsidR="004D1331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>ayant une substance matérielle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et une position dans un réseau sémantique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> ;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mais également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un 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>système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composé d’une dynamique interne qui garanti</w:t>
      </w:r>
      <w:r w:rsidR="005213C5">
        <w:rPr>
          <w:rFonts w:ascii="Times New Roman" w:hAnsi="Times New Roman" w:cs="Times New Roman"/>
          <w:color w:val="212529"/>
          <w:szCs w:val="20"/>
          <w:shd w:val="clear" w:color="auto" w:fill="FFFFFF"/>
        </w:rPr>
        <w:t>t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solidité et équilibre</w:t>
      </w:r>
      <w:r w:rsidR="003B3D10">
        <w:rPr>
          <w:rFonts w:ascii="Times New Roman" w:hAnsi="Times New Roman" w:cs="Times New Roman"/>
          <w:color w:val="212529"/>
          <w:szCs w:val="20"/>
          <w:shd w:val="clear" w:color="auto" w:fill="FFFFFF"/>
        </w:rPr>
        <w:t>,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et externe en interaction avec un milieu ;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il est également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une 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>marchandise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produite et consommée ; et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pour finir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un </w:t>
      </w:r>
      <w:r w:rsidR="000D1C0A">
        <w:rPr>
          <w:rFonts w:ascii="Times New Roman" w:hAnsi="Times New Roman" w:cs="Times New Roman"/>
          <w:color w:val="212529"/>
          <w:szCs w:val="20"/>
          <w:shd w:val="clear" w:color="auto" w:fill="FFFFFF"/>
        </w:rPr>
        <w:t>symbole</w:t>
      </w:r>
      <w:r w:rsid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>.</w:t>
      </w:r>
    </w:p>
    <w:p w14:paraId="15D7CD8F" w14:textId="77777777" w:rsidR="0016154B" w:rsidRDefault="0016154B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Hypothèse/Question de recherche/Méthodologie</w:t>
      </w:r>
    </w:p>
    <w:p w14:paraId="12F5A777" w14:textId="09ADF851" w:rsidR="0016154B" w:rsidRDefault="004E7D57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L’hypothèse est faite que 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>l’activité de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l’élève de lycée professionnel répondant à la prescription </w:t>
      </w:r>
      <w:r w:rsidR="00DC2C5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de « création » d’une assise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de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son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enseignant 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>n’est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pas une activité de création-conception mais plutôt une t</w:t>
      </w:r>
      <w:r w:rsidR="0016154B">
        <w:rPr>
          <w:rFonts w:ascii="Times New Roman" w:hAnsi="Times New Roman" w:cs="Times New Roman"/>
          <w:color w:val="212529"/>
          <w:szCs w:val="20"/>
          <w:shd w:val="clear" w:color="auto" w:fill="FFFFFF"/>
        </w:rPr>
        <w:t>â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che</w:t>
      </w:r>
      <w:r w:rsidR="00A86336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de représentation d’une 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>image mentale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, 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d’</w:t>
      </w:r>
      <w:r w:rsidR="001316F9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un état initial, et qui 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>ne</w:t>
      </w:r>
      <w:r w:rsidR="00A86336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>prend pas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la mesure d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es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différents modes d’existence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de l’artefact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Pour vérifier cette hypothèse, la méthode utilise d’une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part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l’analyse </w:t>
      </w:r>
      <w:r w:rsidR="003B3D10">
        <w:rPr>
          <w:rFonts w:ascii="Times New Roman" w:hAnsi="Times New Roman" w:cs="Times New Roman"/>
          <w:color w:val="212529"/>
          <w:szCs w:val="20"/>
          <w:shd w:val="clear" w:color="auto" w:fill="FFFFFF"/>
        </w:rPr>
        <w:t>par</w:t>
      </w:r>
      <w:r w:rsidR="001E64C8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3E3452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la </w:t>
      </w:r>
      <w:r w:rsidR="007A61CB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matrice</w:t>
      </w:r>
      <w:r w:rsid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3B3D1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disciplinaire qui est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>caractérisée par des objets, des tâches, d</w:t>
      </w:r>
      <w:r w:rsidR="007A61CB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es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connaissances déclaratives et </w:t>
      </w:r>
      <w:r w:rsidR="007A61CB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>procédurales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,</w:t>
      </w:r>
      <w:r w:rsidR="007A61CB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DB1234">
        <w:rPr>
          <w:rFonts w:ascii="Times New Roman" w:hAnsi="Times New Roman" w:cs="Times New Roman"/>
          <w:color w:val="212529"/>
          <w:szCs w:val="20"/>
          <w:shd w:val="clear" w:color="auto" w:fill="FFFFFF"/>
        </w:rPr>
        <w:t>et</w:t>
      </w:r>
      <w:r w:rsidR="007A61CB" w:rsidRPr="0017491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fondatrice d’une discipline qu’elle confronte à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une situation d’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enseignement. D’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autre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lastRenderedPageBreak/>
        <w:t xml:space="preserve">part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les 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>traces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d’activités des élèves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(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leur proposition d</w:t>
      </w:r>
      <w:r w:rsidR="009E74F6">
        <w:rPr>
          <w:rFonts w:ascii="Times New Roman" w:hAnsi="Times New Roman" w:cs="Times New Roman"/>
          <w:color w:val="212529"/>
          <w:szCs w:val="20"/>
          <w:shd w:val="clear" w:color="auto" w:fill="FFFFFF"/>
        </w:rPr>
        <w:t>’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arte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fact</w:t>
      </w:r>
      <w:r w:rsidR="009E74F6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« chaise »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)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et la perception qu’ils ont de 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celles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-ci 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sont confrontées aux </w:t>
      </w:r>
      <w:r w:rsidR="00D658F7" w:rsidRP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>différents mo</w:t>
      </w:r>
      <w:r w:rsidR="00D658F7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des d’existence 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de l’artefact</w:t>
      </w:r>
      <w:r w:rsidR="00F26D2B">
        <w:rPr>
          <w:rFonts w:ascii="Times New Roman" w:hAnsi="Times New Roman" w:cs="Times New Roman"/>
          <w:color w:val="212529"/>
          <w:szCs w:val="20"/>
          <w:shd w:val="clear" w:color="auto" w:fill="FFFFFF"/>
        </w:rPr>
        <w:t>.</w:t>
      </w:r>
    </w:p>
    <w:p w14:paraId="752642C4" w14:textId="77777777" w:rsidR="004413CA" w:rsidRDefault="004413CA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Résultats</w:t>
      </w:r>
    </w:p>
    <w:p w14:paraId="57DC3E6E" w14:textId="4DB17D3B" w:rsidR="007A61CB" w:rsidRDefault="00BB35E5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Cette communication se propose de présenter trois résultats.</w:t>
      </w:r>
      <w:bookmarkStart w:id="0" w:name="_GoBack"/>
      <w:bookmarkEnd w:id="0"/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Premièrement 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les connaissances déclaratives </w:t>
      </w:r>
      <w:r w:rsidR="006E3061">
        <w:rPr>
          <w:rFonts w:ascii="Times New Roman" w:hAnsi="Times New Roman" w:cs="Times New Roman"/>
          <w:color w:val="212529"/>
          <w:szCs w:val="20"/>
          <w:shd w:val="clear" w:color="auto" w:fill="FFFFFF"/>
        </w:rPr>
        <w:t>dispensées par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l’enseignant</w:t>
      </w:r>
      <w:r w:rsidR="006E3061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pour les séances observées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A1101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traitent partiellement 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>d</w:t>
      </w:r>
      <w:r w:rsidR="00A11013">
        <w:rPr>
          <w:rFonts w:ascii="Times New Roman" w:hAnsi="Times New Roman" w:cs="Times New Roman"/>
          <w:color w:val="212529"/>
          <w:szCs w:val="20"/>
          <w:shd w:val="clear" w:color="auto" w:fill="FFFFFF"/>
        </w:rPr>
        <w:t>es</w:t>
      </w:r>
      <w:r w:rsidR="002038FC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multiples modes d’existence de l’artefact</w:t>
      </w:r>
      <w:r w:rsidR="006E3061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Deuxièmement, les modèles d’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arte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facts proposés par les élèves ne s’inscrivent pas dans une relation « artefact-utilisateur d’artefact » parce qu’ils ne sont pas </w:t>
      </w:r>
      <w:r w:rsidR="001850AE">
        <w:rPr>
          <w:rFonts w:ascii="Times New Roman" w:hAnsi="Times New Roman" w:cs="Times New Roman"/>
          <w:color w:val="212529"/>
          <w:szCs w:val="20"/>
          <w:shd w:val="clear" w:color="auto" w:fill="FFFFFF"/>
        </w:rPr>
        <w:t>anticipés comme tel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s</w:t>
      </w:r>
      <w:r w:rsidR="001850AE">
        <w:rPr>
          <w:rFonts w:ascii="Times New Roman" w:hAnsi="Times New Roman" w:cs="Times New Roman"/>
          <w:color w:val="212529"/>
          <w:szCs w:val="20"/>
          <w:shd w:val="clear" w:color="auto" w:fill="FFFFFF"/>
        </w:rPr>
        <w:t>. Troisièmement les élèves interrogés</w:t>
      </w:r>
      <w:r w:rsidR="00512FFF">
        <w:rPr>
          <w:rFonts w:ascii="Times New Roman" w:hAnsi="Times New Roman" w:cs="Times New Roman"/>
          <w:color w:val="212529"/>
          <w:szCs w:val="20"/>
          <w:shd w:val="clear" w:color="auto" w:fill="FFFFFF"/>
        </w:rPr>
        <w:t>, en filière commerciale</w:t>
      </w:r>
      <w:r w:rsidR="001850AE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, positionnent 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>majoritairement le modèle d’artefact comme une marchandise consom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mable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0408FE">
        <w:rPr>
          <w:rFonts w:ascii="Times New Roman" w:hAnsi="Times New Roman" w:cs="Times New Roman"/>
          <w:color w:val="212529"/>
          <w:szCs w:val="20"/>
          <w:shd w:val="clear" w:color="auto" w:fill="FFFFFF"/>
        </w:rPr>
        <w:t>devant</w:t>
      </w:r>
      <w:r w:rsidR="00F557F0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se démarquer et répondre à un besoin sans pour autant pouvoir proposer un modèle de l’artefact « chaise » qui puisse répondre à cela. </w:t>
      </w:r>
    </w:p>
    <w:p w14:paraId="49F6A66E" w14:textId="5AEB7493" w:rsidR="001316F9" w:rsidRDefault="001316F9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Discussion</w:t>
      </w:r>
    </w:p>
    <w:p w14:paraId="720B8144" w14:textId="75D48D41" w:rsidR="00C00AFD" w:rsidRDefault="001316F9" w:rsidP="003B3D10">
      <w:pPr>
        <w:spacing w:line="360" w:lineRule="auto"/>
        <w:jc w:val="both"/>
        <w:rPr>
          <w:rFonts w:ascii="Times New Roman" w:hAnsi="Times New Roman" w:cs="Times New Roman"/>
          <w:color w:val="212529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Il semble que l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es perceptions différentes et partielles du mode d’existence de l’artefact par l’enseignant et par les étudiants rendent la situation de création-conception difficilement lisible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depuis ce seul éclairage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>.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D’autant que</w:t>
      </w:r>
      <w:r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p</w:t>
      </w:r>
      <w:r w:rsidR="00CD2943" w:rsidRP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our passer  d’une  représentation  initiale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 de  l’artéfact  à  concevoir</w:t>
      </w:r>
      <w:r w:rsidR="00CD2943" w:rsidRP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à 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une  représentation  finale  de</w:t>
      </w:r>
      <w:r w:rsidR="00CD2943" w:rsidRP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 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ce celui-ci le concepteur interagit avec d’autre éléments 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>que c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e seul artefact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 : 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sa propre compétence, des sources </w:t>
      </w:r>
      <w:r w:rsidR="00CD2943" w:rsidRP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de connaissances </w:t>
      </w:r>
      <w:r w:rsid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et d</w:t>
      </w:r>
      <w:r w:rsidR="00CD2943" w:rsidRPr="00CD2943">
        <w:rPr>
          <w:rFonts w:ascii="Times New Roman" w:hAnsi="Times New Roman" w:cs="Times New Roman"/>
          <w:color w:val="212529"/>
          <w:szCs w:val="20"/>
          <w:shd w:val="clear" w:color="auto" w:fill="FFFFFF"/>
        </w:rPr>
        <w:t>es moyens de représentation et de communication</w:t>
      </w:r>
      <w:r w:rsidR="00ED2B85">
        <w:rPr>
          <w:rFonts w:ascii="Times New Roman" w:hAnsi="Times New Roman" w:cs="Times New Roman"/>
          <w:color w:val="212529"/>
          <w:szCs w:val="20"/>
          <w:shd w:val="clear" w:color="auto" w:fill="FFFFFF"/>
        </w:rPr>
        <w:t xml:space="preserve">. </w:t>
      </w:r>
    </w:p>
    <w:p w14:paraId="165BA30E" w14:textId="77777777" w:rsidR="001316F9" w:rsidRDefault="001316F9" w:rsidP="003B3D10">
      <w:pPr>
        <w:spacing w:line="360" w:lineRule="auto"/>
        <w:jc w:val="both"/>
        <w:rPr>
          <w:rFonts w:ascii="Lato" w:hAnsi="Lato"/>
          <w:color w:val="212529"/>
          <w:sz w:val="20"/>
          <w:szCs w:val="20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1217381"/>
        <w:docPartObj>
          <w:docPartGallery w:val="Bibliographies"/>
          <w:docPartUnique/>
        </w:docPartObj>
      </w:sdtPr>
      <w:sdtEndPr/>
      <w:sdtContent>
        <w:p w14:paraId="3753EB16" w14:textId="77777777" w:rsidR="00722C59" w:rsidRDefault="00722C59" w:rsidP="003B3D10">
          <w:pPr>
            <w:pStyle w:val="Titre1"/>
            <w:spacing w:line="360" w:lineRule="auto"/>
            <w:rPr>
              <w:rFonts w:ascii="Times New Roman" w:hAnsi="Times New Roman" w:cs="Times New Roman"/>
              <w:b/>
              <w:i/>
              <w:color w:val="auto"/>
              <w:sz w:val="28"/>
            </w:rPr>
          </w:pPr>
          <w:r w:rsidRPr="00C00AFD">
            <w:rPr>
              <w:rFonts w:ascii="Times New Roman" w:hAnsi="Times New Roman" w:cs="Times New Roman"/>
              <w:b/>
              <w:i/>
              <w:color w:val="auto"/>
              <w:sz w:val="28"/>
            </w:rPr>
            <w:t>Bibliographie</w:t>
          </w:r>
        </w:p>
        <w:p w14:paraId="001F3BAD" w14:textId="77777777" w:rsidR="00C00AFD" w:rsidRPr="00C00AFD" w:rsidRDefault="00C00AFD" w:rsidP="00C00AFD">
          <w:pPr>
            <w:rPr>
              <w:lang w:eastAsia="fr-FR"/>
            </w:rPr>
          </w:pPr>
        </w:p>
        <w:sdt>
          <w:sdtPr>
            <w:id w:val="111145805"/>
            <w:bibliography/>
          </w:sdtPr>
          <w:sdtEndPr/>
          <w:sdtContent>
            <w:p w14:paraId="48D89C85" w14:textId="77777777" w:rsidR="00C00AFD" w:rsidRDefault="00722C59" w:rsidP="00C00AFD">
              <w:pPr>
                <w:pStyle w:val="Bibliograph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C00AFD">
                <w:rPr>
                  <w:noProof/>
                </w:rPr>
                <w:t xml:space="preserve">Develay, M. (1995). </w:t>
              </w:r>
              <w:r w:rsidR="00C00AFD">
                <w:rPr>
                  <w:i/>
                  <w:iCs/>
                  <w:noProof/>
                </w:rPr>
                <w:t>Savoirs scolaires et didactiques des disciplines. Une encyclopédie pour aujourd'hui.</w:t>
              </w:r>
              <w:r w:rsidR="00C00AFD">
                <w:rPr>
                  <w:noProof/>
                </w:rPr>
                <w:t xml:space="preserve"> Paris: ESF.</w:t>
              </w:r>
            </w:p>
            <w:p w14:paraId="38F97235" w14:textId="77777777" w:rsidR="00C00AFD" w:rsidRDefault="00C00AFD" w:rsidP="00C00AFD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Kuhn, T. S. (1962). </w:t>
              </w:r>
              <w:r>
                <w:rPr>
                  <w:i/>
                  <w:iCs/>
                  <w:noProof/>
                </w:rPr>
                <w:t>The Structure of Scientific Revolution</w:t>
              </w:r>
              <w:r>
                <w:rPr>
                  <w:noProof/>
                </w:rPr>
                <w:t xml:space="preserve"> (éd. 2, Vol. 2). </w:t>
              </w:r>
              <w:r w:rsidRPr="00C00AFD">
                <w:rPr>
                  <w:noProof/>
                  <w:lang w:val="en-GB"/>
                </w:rPr>
                <w:t xml:space="preserve">(y. T. Chicago, Éd.) Chicago: International Encyclopedia of Unified Science. </w:t>
              </w:r>
              <w:r>
                <w:rPr>
                  <w:noProof/>
                </w:rPr>
                <w:t>Consulté le 12 29, 2018, sur http://www.f.waseda.jp/sidoli/Kuhn_Structure_of_Scientific_Revolutions.pdf</w:t>
              </w:r>
            </w:p>
            <w:p w14:paraId="549F3791" w14:textId="77777777" w:rsidR="00C00AFD" w:rsidRDefault="00C00AFD" w:rsidP="00C00AFD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Lebahar, J.-C. (2008). </w:t>
              </w:r>
              <w:r>
                <w:rPr>
                  <w:i/>
                  <w:iCs/>
                  <w:noProof/>
                </w:rPr>
                <w:t>L'enseignement du design industriel.</w:t>
              </w:r>
              <w:r>
                <w:rPr>
                  <w:noProof/>
                </w:rPr>
                <w:t xml:space="preserve"> Paris, France: Hermès-Lavoisier.</w:t>
              </w:r>
            </w:p>
            <w:p w14:paraId="7B23871F" w14:textId="77777777" w:rsidR="00C00AFD" w:rsidRDefault="00C00AFD" w:rsidP="00C00AFD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Lebahar, J.-C. (2009). Les deux modes d’existence de l’artefact : objet et système. Dans J. Baillé, </w:t>
              </w:r>
              <w:r>
                <w:rPr>
                  <w:i/>
                  <w:iCs/>
                  <w:noProof/>
                </w:rPr>
                <w:t>Du mot au concept</w:t>
              </w:r>
              <w:r>
                <w:rPr>
                  <w:noProof/>
                </w:rPr>
                <w:t xml:space="preserve"> (pp. 9-27). Grenoble, France: Presses universitaires de Grenoble.</w:t>
              </w:r>
            </w:p>
            <w:p w14:paraId="1D039B1D" w14:textId="77777777" w:rsidR="00C00AFD" w:rsidRDefault="00C00AFD" w:rsidP="00C00AFD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Moineau, C., Tortochot, E., &amp; Cusenier, E. (à paraître). L’expérience de design : une activité transdisciplinaire de création-conception qui s’apprend pour (ré)engager l’élève dans l’activité d’apprentissage. </w:t>
              </w:r>
              <w:r>
                <w:rPr>
                  <w:i/>
                  <w:iCs/>
                  <w:noProof/>
                </w:rPr>
                <w:t>Recherches en didactiques</w:t>
              </w:r>
              <w:r>
                <w:rPr>
                  <w:noProof/>
                </w:rPr>
                <w:t>.</w:t>
              </w:r>
            </w:p>
            <w:p w14:paraId="50A34489" w14:textId="169D1729" w:rsidR="007A61CB" w:rsidRDefault="00722C59" w:rsidP="00C00AFD">
              <w:pPr>
                <w:spacing w:line="360" w:lineRule="auto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7A61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850C3" w16cid:durableId="1FFD219D"/>
  <w16cid:commentId w16cid:paraId="714EF62B" w16cid:durableId="1FFD241F"/>
  <w16cid:commentId w16cid:paraId="7D46CBB3" w16cid:durableId="1FFD276E"/>
  <w16cid:commentId w16cid:paraId="200198D3" w16cid:durableId="1FFD26AF"/>
  <w16cid:commentId w16cid:paraId="7850A7CC" w16cid:durableId="1FFD2524"/>
  <w16cid:commentId w16cid:paraId="49423272" w16cid:durableId="1FFD27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F901" w14:textId="77777777" w:rsidR="009C2A73" w:rsidRDefault="009C2A73" w:rsidP="00C00AFD">
      <w:pPr>
        <w:spacing w:after="0" w:line="240" w:lineRule="auto"/>
      </w:pPr>
      <w:r>
        <w:separator/>
      </w:r>
    </w:p>
  </w:endnote>
  <w:endnote w:type="continuationSeparator" w:id="0">
    <w:p w14:paraId="208760DF" w14:textId="77777777" w:rsidR="009C2A73" w:rsidRDefault="009C2A73" w:rsidP="00C0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B4FA" w14:textId="77777777" w:rsidR="009C2A73" w:rsidRDefault="009C2A73" w:rsidP="00C00AFD">
      <w:pPr>
        <w:spacing w:after="0" w:line="240" w:lineRule="auto"/>
      </w:pPr>
      <w:r>
        <w:separator/>
      </w:r>
    </w:p>
  </w:footnote>
  <w:footnote w:type="continuationSeparator" w:id="0">
    <w:p w14:paraId="39B65319" w14:textId="77777777" w:rsidR="009C2A73" w:rsidRDefault="009C2A73" w:rsidP="00C0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671B" w14:textId="4D3A8A7A" w:rsidR="00C00AFD" w:rsidRDefault="00C00AFD" w:rsidP="00C00AFD">
    <w:r w:rsidRPr="006503A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59AF6CE" wp14:editId="2BEEFCF4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790575" cy="5355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421"/>
                  <a:stretch/>
                </pic:blipFill>
                <pic:spPr bwMode="auto">
                  <a:xfrm>
                    <a:off x="0" y="0"/>
                    <a:ext cx="796779" cy="539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3A1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EC009E1" wp14:editId="72313EAE">
          <wp:simplePos x="0" y="0"/>
          <wp:positionH relativeFrom="column">
            <wp:posOffset>3415030</wp:posOffset>
          </wp:positionH>
          <wp:positionV relativeFrom="paragraph">
            <wp:posOffset>7620</wp:posOffset>
          </wp:positionV>
          <wp:extent cx="666750" cy="539498"/>
          <wp:effectExtent l="0" t="0" r="0" b="0"/>
          <wp:wrapNone/>
          <wp:docPr id="16" name="Image 16" descr="RÃ©sultat de recherche d'images pour &quot;logo adef amu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RÃ©sultat de recherche d'images pour &quot;logo adef amu&quot;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2" b="30327"/>
                  <a:stretch/>
                </pic:blipFill>
                <pic:spPr bwMode="auto">
                  <a:xfrm>
                    <a:off x="0" y="0"/>
                    <a:ext cx="667639" cy="54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3A1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E236DB8" wp14:editId="59DF41D6">
          <wp:simplePos x="0" y="0"/>
          <wp:positionH relativeFrom="column">
            <wp:posOffset>1529080</wp:posOffset>
          </wp:positionH>
          <wp:positionV relativeFrom="paragraph">
            <wp:posOffset>111760</wp:posOffset>
          </wp:positionV>
          <wp:extent cx="1026795" cy="466725"/>
          <wp:effectExtent l="0" t="0" r="0" b="0"/>
          <wp:wrapTight wrapText="bothSides">
            <wp:wrapPolygon edited="0">
              <wp:start x="1603" y="1763"/>
              <wp:lineTo x="801" y="7935"/>
              <wp:lineTo x="801" y="14106"/>
              <wp:lineTo x="1603" y="20278"/>
              <wp:lineTo x="3607" y="20278"/>
              <wp:lineTo x="20839" y="16751"/>
              <wp:lineTo x="20839" y="4408"/>
              <wp:lineTo x="3607" y="1763"/>
              <wp:lineTo x="1603" y="1763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86"/>
                  <a:stretch/>
                </pic:blipFill>
                <pic:spPr bwMode="auto">
                  <a:xfrm>
                    <a:off x="0" y="0"/>
                    <a:ext cx="10267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3A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B388CD0" wp14:editId="554F198B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072515" cy="561975"/>
          <wp:effectExtent l="0" t="0" r="0" b="9525"/>
          <wp:wrapNone/>
          <wp:docPr id="17" name="Image 17" descr="RÃ©sultat de recherche d'images pour &quot;logo adef amu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RÃ©sultat de recherche d'images pour &quot;logo adef amu&quot;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31"/>
                  <a:stretch/>
                </pic:blipFill>
                <pic:spPr bwMode="auto">
                  <a:xfrm>
                    <a:off x="0" y="0"/>
                    <a:ext cx="10725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B2AC51" w14:textId="77777777" w:rsidR="00C00AFD" w:rsidRDefault="00C00AFD">
    <w:pPr>
      <w:pStyle w:val="En-tte"/>
    </w:pPr>
  </w:p>
  <w:p w14:paraId="62A45982" w14:textId="77777777" w:rsidR="00C00AFD" w:rsidRDefault="00C00AFD">
    <w:pPr>
      <w:pStyle w:val="En-tte"/>
    </w:pPr>
  </w:p>
  <w:p w14:paraId="13AA91DA" w14:textId="77777777" w:rsidR="00C00AFD" w:rsidRDefault="00C00A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CB"/>
    <w:rsid w:val="000408FE"/>
    <w:rsid w:val="000D1C0A"/>
    <w:rsid w:val="001316F9"/>
    <w:rsid w:val="0016154B"/>
    <w:rsid w:val="00174915"/>
    <w:rsid w:val="001850AE"/>
    <w:rsid w:val="001E64C8"/>
    <w:rsid w:val="002038FC"/>
    <w:rsid w:val="00313B56"/>
    <w:rsid w:val="003B3D10"/>
    <w:rsid w:val="003E3452"/>
    <w:rsid w:val="003E5563"/>
    <w:rsid w:val="004413CA"/>
    <w:rsid w:val="00467FB9"/>
    <w:rsid w:val="004C02E0"/>
    <w:rsid w:val="004D1331"/>
    <w:rsid w:val="004D53E4"/>
    <w:rsid w:val="004E7D57"/>
    <w:rsid w:val="00512FFF"/>
    <w:rsid w:val="005213C5"/>
    <w:rsid w:val="00593771"/>
    <w:rsid w:val="005C7AF0"/>
    <w:rsid w:val="006A1709"/>
    <w:rsid w:val="006C0343"/>
    <w:rsid w:val="006E3061"/>
    <w:rsid w:val="007019A5"/>
    <w:rsid w:val="00722C59"/>
    <w:rsid w:val="007269DB"/>
    <w:rsid w:val="00773AB3"/>
    <w:rsid w:val="00780C5A"/>
    <w:rsid w:val="007A61CB"/>
    <w:rsid w:val="007F1A3C"/>
    <w:rsid w:val="00850811"/>
    <w:rsid w:val="00857DC0"/>
    <w:rsid w:val="009022B9"/>
    <w:rsid w:val="009707E8"/>
    <w:rsid w:val="009C2A73"/>
    <w:rsid w:val="009E74F6"/>
    <w:rsid w:val="00A11013"/>
    <w:rsid w:val="00A86336"/>
    <w:rsid w:val="00BB35E5"/>
    <w:rsid w:val="00BE7F15"/>
    <w:rsid w:val="00C00AFD"/>
    <w:rsid w:val="00C74FD9"/>
    <w:rsid w:val="00CD2943"/>
    <w:rsid w:val="00CE11D6"/>
    <w:rsid w:val="00D1043C"/>
    <w:rsid w:val="00D658F7"/>
    <w:rsid w:val="00DB1234"/>
    <w:rsid w:val="00DC2C5C"/>
    <w:rsid w:val="00ED2B85"/>
    <w:rsid w:val="00F26CF2"/>
    <w:rsid w:val="00F26D2B"/>
    <w:rsid w:val="00F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48B"/>
  <w15:chartTrackingRefBased/>
  <w15:docId w15:val="{E4AD3AAA-D968-48C6-8057-D6E6ED9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2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C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Bibliographie">
    <w:name w:val="Bibliography"/>
    <w:basedOn w:val="Normal"/>
    <w:next w:val="Normal"/>
    <w:uiPriority w:val="37"/>
    <w:unhideWhenUsed/>
    <w:rsid w:val="00BE7F15"/>
  </w:style>
  <w:style w:type="character" w:styleId="Marquedecommentaire">
    <w:name w:val="annotation reference"/>
    <w:basedOn w:val="Policepardfaut"/>
    <w:uiPriority w:val="99"/>
    <w:semiHidden/>
    <w:unhideWhenUsed/>
    <w:rsid w:val="00521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13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13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1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13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AFD"/>
  </w:style>
  <w:style w:type="paragraph" w:styleId="Pieddepage">
    <w:name w:val="footer"/>
    <w:basedOn w:val="Normal"/>
    <w:link w:val="PieddepageCar"/>
    <w:uiPriority w:val="99"/>
    <w:unhideWhenUsed/>
    <w:rsid w:val="00C0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AFD"/>
  </w:style>
  <w:style w:type="paragraph" w:styleId="Sansinterligne">
    <w:name w:val="No Spacing"/>
    <w:uiPriority w:val="1"/>
    <w:qFormat/>
    <w:rsid w:val="00C00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9"/>
    <w:rsid w:val="000B28F9"/>
    <w:rsid w:val="009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C78B947BD54DF7A5AB57A4165FD7DC">
    <w:name w:val="3EC78B947BD54DF7A5AB57A4165FD7DC"/>
    <w:rsid w:val="000B2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Leb</b:Tag>
    <b:SourceType>BookSection</b:SourceType>
    <b:Guid>{6F4BA0DD-C2E8-44CE-88DD-AAC9BF5BD92B}</b:Guid>
    <b:Title>Les deux modes d’existence de l’artefact : objet et système</b:Title>
    <b:BookTitle>Du mot au concept</b:BookTitle>
    <b:City>Grenoble</b:City>
    <b:Publisher>Presses universitaires de Grenoble</b:Publisher>
    <b:Author>
      <b:Author>
        <b:NameList>
          <b:Person>
            <b:Last>Lebahar</b:Last>
            <b:First>Jean-Charles</b:First>
          </b:Person>
        </b:NameList>
      </b:Author>
      <b:BookAuthor>
        <b:NameList>
          <b:Person>
            <b:Last>Baillé</b:Last>
            <b:First>J</b:First>
          </b:Person>
        </b:NameList>
      </b:BookAuthor>
    </b:Author>
    <b:Year>2009</b:Year>
    <b:Pages>9-27</b:Pages>
    <b:CountryRegion>France</b:CountryRegion>
    <b:RefOrder>1</b:RefOrder>
  </b:Source>
  <b:Source>
    <b:Tag>Leb08</b:Tag>
    <b:SourceType>Book</b:SourceType>
    <b:Guid>{50BA3071-5ABD-479A-9AC9-FDC581C246F0}</b:Guid>
    <b:Title>L'enseignement du design industriel</b:Title>
    <b:Year>2008</b:Year>
    <b:Pages>213-252</b:Pages>
    <b:Author>
      <b:Author>
        <b:NameList>
          <b:Person>
            <b:Last>Lebahar</b:Last>
            <b:First>Jean-Charles</b:First>
          </b:Person>
        </b:NameList>
      </b:Author>
    </b:Author>
    <b:City>Paris</b:City>
    <b:Publisher>Hermès-Lavoisier</b:Publisher>
    <b:CountryRegion>France</b:CountryRegion>
    <b:RefOrder>2</b:RefOrder>
  </b:Source>
  <b:Source>
    <b:Tag>Kuh83</b:Tag>
    <b:SourceType>Book</b:SourceType>
    <b:Guid>{55395B8E-93B2-4C03-9D79-87271D5AB397}</b:Guid>
    <b:Title>The Structure of Scientific Revolution</b:Title>
    <b:Year>1962</b:Year>
    <b:City>Chicago</b:City>
    <b:Publisher>International Encyclopedia of Unified Science</b:Publisher>
    <b:Author>
      <b:Author>
        <b:NameList>
          <b:Person>
            <b:Last>Kuhn</b:Last>
            <b:First>Thomas</b:First>
            <b:Middle>S</b:Middle>
          </b:Person>
        </b:NameList>
      </b:Author>
      <b:Editor>
        <b:NameList>
          <b:Person>
            <b:Last>Chicago</b:Last>
            <b:First>y</b:First>
            <b:Middle>The University of</b:Middle>
          </b:Person>
        </b:NameList>
      </b:Editor>
    </b:Author>
    <b:Volume>2</b:Volume>
    <b:NumberVolumes>2</b:NumberVolumes>
    <b:Pages>222</b:Pages>
    <b:Edition>2</b:Edition>
    <b:YearAccessed>2018</b:YearAccessed>
    <b:MonthAccessed>12</b:MonthAccessed>
    <b:DayAccessed>29</b:DayAccessed>
    <b:URL>http://www.f.waseda.jp/sidoli/Kuhn_Structure_of_Scientific_Revolutions.pdf</b:URL>
    <b:RefOrder>3</b:RefOrder>
  </b:Source>
  <b:Source>
    <b:Tag>Dev95</b:Tag>
    <b:SourceType>Book</b:SourceType>
    <b:Guid>{3590E860-DD5E-4651-BFFB-90FE81CCA694}</b:Guid>
    <b:Title>Savoirs scolaires et didactiques des disciplines. Une encyclopédie pour aujourd'hui.</b:Title>
    <b:Year>1995</b:Year>
    <b:City>Paris</b:City>
    <b:Publisher>ESF</b:Publisher>
    <b:Author>
      <b:Author>
        <b:NameList>
          <b:Person>
            <b:Last>Develay</b:Last>
            <b:First>Michel</b:First>
          </b:Person>
        </b:NameList>
      </b:Author>
    </b:Author>
    <b:RefOrder>4</b:RefOrder>
  </b:Source>
  <b:Source>
    <b:Tag>Moi</b:Tag>
    <b:SourceType>JournalArticle</b:SourceType>
    <b:Guid>{599FF516-1A13-40EF-8F15-713C4F06350C}</b:Guid>
    <b:Title>L’expérience de design : une activité transdisciplinaire de création-conception qui s’apprend pour (ré)engager l’élève dans l’activité d’apprentissage</b:Title>
    <b:Author>
      <b:Author>
        <b:NameList>
          <b:Person>
            <b:Last>Moineau</b:Last>
            <b:First>Christophe</b:First>
          </b:Person>
          <b:Person>
            <b:Last>Tortochot</b:Last>
            <b:First>Eric</b:First>
          </b:Person>
          <b:Person>
            <b:Last>Cusenier</b:Last>
            <b:First>Emeline</b:First>
          </b:Person>
        </b:NameList>
      </b:Author>
    </b:Author>
    <b:JournalName>Recherches en didactiques</b:JournalName>
    <b:Year>à paraître</b:Year>
    <b:RefOrder>5</b:RefOrder>
  </b:Source>
</b:Sources>
</file>

<file path=customXml/itemProps1.xml><?xml version="1.0" encoding="utf-8"?>
<ds:datastoreItem xmlns:ds="http://schemas.openxmlformats.org/officeDocument/2006/customXml" ds:itemID="{5CFE8F7E-2B69-49E1-A38F-6E100644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Cusenier</dc:creator>
  <cp:keywords/>
  <dc:description/>
  <cp:lastModifiedBy>Emeline Cusenier</cp:lastModifiedBy>
  <cp:revision>2</cp:revision>
  <dcterms:created xsi:type="dcterms:W3CDTF">2019-01-31T09:33:00Z</dcterms:created>
  <dcterms:modified xsi:type="dcterms:W3CDTF">2019-01-31T09:33:00Z</dcterms:modified>
</cp:coreProperties>
</file>